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E755B" w14:textId="77777777" w:rsidR="00884918" w:rsidRDefault="00AA3F0F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sz w:val="44"/>
          <w:szCs w:val="44"/>
        </w:rPr>
        <w:t xml:space="preserve"> </w:t>
      </w:r>
    </w:p>
    <w:p w14:paraId="1E68F762" w14:textId="77777777" w:rsidR="00884918" w:rsidRDefault="00884918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3BE71D7A" w14:textId="77777777" w:rsidR="00884918" w:rsidRDefault="00B80FE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全市法院审判质量管理指标体系</w:t>
      </w:r>
    </w:p>
    <w:p w14:paraId="2C62B7F9" w14:textId="77777777" w:rsidR="00884918" w:rsidRDefault="00B80FE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及评价办法（试行）</w:t>
      </w:r>
    </w:p>
    <w:p w14:paraId="62389F73" w14:textId="77777777" w:rsidR="00884918" w:rsidRDefault="00884918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3149F05F" w14:textId="77777777" w:rsidR="00884918" w:rsidRDefault="00B80FE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为贯彻实施公正司法行动，切实提升审判工作品质、质量和层次，以审判管理现代化保障和推进审判工作现代化，不断提升全市法院审判工作质量与效果，切实提高人民群众司法获得感和司法公信力，推动新时代全市法院工作高质量发展，激励全市法院工作走在前、开新局，参照《人民法院审判质量管理指标体系》，结合全市法院工作实际，制定本办法。</w:t>
      </w:r>
    </w:p>
    <w:p w14:paraId="7C972E12" w14:textId="77777777" w:rsidR="00884918" w:rsidRDefault="00884918">
      <w:pPr>
        <w:rPr>
          <w:rFonts w:ascii="Times New Roman" w:eastAsia="黑体" w:hAnsi="Times New Roman" w:cs="黑体"/>
          <w:sz w:val="32"/>
          <w:szCs w:val="40"/>
        </w:rPr>
      </w:pPr>
    </w:p>
    <w:p w14:paraId="4ECF6645" w14:textId="77777777" w:rsidR="00884918" w:rsidRDefault="00B80FE5">
      <w:pPr>
        <w:ind w:firstLineChars="200" w:firstLine="640"/>
        <w:rPr>
          <w:rFonts w:ascii="Times New Roman" w:eastAsia="黑体" w:hAnsi="Times New Roman" w:cs="黑体"/>
          <w:sz w:val="32"/>
          <w:szCs w:val="40"/>
        </w:rPr>
      </w:pPr>
      <w:r>
        <w:rPr>
          <w:rFonts w:ascii="Times New Roman" w:eastAsia="黑体" w:hAnsi="Times New Roman" w:cs="黑体" w:hint="eastAsia"/>
          <w:sz w:val="32"/>
          <w:szCs w:val="40"/>
        </w:rPr>
        <w:t>一、核心指标</w:t>
      </w:r>
    </w:p>
    <w:p w14:paraId="0593371E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网上立案审核通过率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=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已网上立案数</w:t>
      </w:r>
      <w:r>
        <w:rPr>
          <w:rFonts w:ascii="Times New Roman" w:eastAsia="仿宋_GB2312" w:hAnsi="Times New Roman" w:cs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申请立案数。已网上立案数包括诉前调解中及审判、执行、管辖、保全等网上立案。</w:t>
      </w:r>
    </w:p>
    <w:p w14:paraId="7BB62966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【参考区间】</w:t>
      </w:r>
      <w:r w:rsidR="00E64E1E" w:rsidRPr="00E64E1E">
        <w:rPr>
          <w:rFonts w:ascii="Times New Roman" w:eastAsia="仿宋_GB2312" w:hAnsi="Times New Roman" w:cs="仿宋_GB2312" w:hint="eastAsia"/>
          <w:sz w:val="32"/>
          <w:szCs w:val="32"/>
        </w:rPr>
        <w:t>暂不设定区间范围，根据上半年全省情况另行确定。</w:t>
      </w:r>
    </w:p>
    <w:p w14:paraId="165F3467" w14:textId="77777777" w:rsidR="00E64E1E" w:rsidRDefault="00E64E1E" w:rsidP="00E64E1E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 w:cs="仿宋_GB2312"/>
          <w:sz w:val="32"/>
          <w:szCs w:val="32"/>
        </w:rPr>
      </w:pPr>
      <w:r w:rsidRPr="00E64E1E">
        <w:rPr>
          <w:rFonts w:ascii="Times New Roman" w:eastAsia="仿宋_GB2312" w:hAnsi="Times New Roman" w:cs="仿宋_GB2312" w:hint="eastAsia"/>
          <w:sz w:val="32"/>
          <w:szCs w:val="32"/>
        </w:rPr>
        <w:t>【指标调整说明】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具体区间视全省法院上半年数据情况</w:t>
      </w:r>
      <w:r w:rsidR="003A3305">
        <w:rPr>
          <w:rFonts w:ascii="Times New Roman" w:eastAsia="仿宋_GB2312" w:hAnsi="Times New Roman" w:cs="仿宋_GB2312" w:hint="eastAsia"/>
          <w:sz w:val="32"/>
          <w:szCs w:val="32"/>
        </w:rPr>
        <w:t>进行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调整。</w:t>
      </w:r>
    </w:p>
    <w:p w14:paraId="5D6A211E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上诉率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二审新收案件数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一审结案数。</w:t>
      </w:r>
    </w:p>
    <w:p w14:paraId="4B856399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8.29%-10.27%</w:t>
      </w:r>
    </w:p>
    <w:p w14:paraId="574ACD68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【指标调整说明】在征求意见中，多数基层法院提出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9.27%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的指标上限，低于多数法院历史最佳水平。为循序渐进提升一审服判息诉水平，按照全省法院平均值下浮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的计算方式，将该指标上限回调至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10.27%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6BB6ED0A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一审案件被改判发回重审率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一审案件被改判发回数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一审结案数。</w:t>
      </w:r>
    </w:p>
    <w:p w14:paraId="63B085CD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1%-1.2%</w:t>
      </w:r>
    </w:p>
    <w:p w14:paraId="0609FC57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生效裁判申请执行率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首执收案数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刑事、民事、行政一审结案数。</w:t>
      </w:r>
    </w:p>
    <w:p w14:paraId="48225A8A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40%-55%</w:t>
      </w:r>
    </w:p>
    <w:p w14:paraId="68F83E2A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5.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审限变更率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延长审限、扣除审限、中止审理案件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（旧存案件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新收案件）。</w:t>
      </w:r>
    </w:p>
    <w:p w14:paraId="1675CFE4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3.5%-5%</w:t>
      </w:r>
    </w:p>
    <w:p w14:paraId="40B51041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6.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个月诉讼案件占比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个月已结诉讼案件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个月未结诉讼案件）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一审结案数。</w:t>
      </w:r>
    </w:p>
    <w:p w14:paraId="7D3D70D1" w14:textId="77777777" w:rsidR="00884918" w:rsidRPr="00140442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0.2%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140442">
        <w:rPr>
          <w:rFonts w:ascii="Times New Roman" w:eastAsia="仿宋_GB2312" w:hAnsi="Times New Roman" w:hint="eastAsia"/>
          <w:kern w:val="0"/>
          <w:sz w:val="32"/>
          <w:szCs w:val="32"/>
        </w:rPr>
        <w:t>且年度结束时没有无正当理由超</w:t>
      </w:r>
      <w:r w:rsidRPr="00140442">
        <w:rPr>
          <w:rFonts w:ascii="Times New Roman" w:eastAsia="仿宋_GB2312" w:hAnsi="Times New Roman" w:hint="eastAsia"/>
          <w:kern w:val="0"/>
          <w:sz w:val="32"/>
          <w:szCs w:val="32"/>
        </w:rPr>
        <w:t>18</w:t>
      </w:r>
      <w:r w:rsidRPr="00140442">
        <w:rPr>
          <w:rFonts w:ascii="Times New Roman" w:eastAsia="仿宋_GB2312" w:hAnsi="Times New Roman" w:hint="eastAsia"/>
          <w:kern w:val="0"/>
          <w:sz w:val="32"/>
          <w:szCs w:val="32"/>
        </w:rPr>
        <w:t>个月未结诉讼案件</w:t>
      </w:r>
    </w:p>
    <w:p w14:paraId="391DEEA6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【指标调整说明】少量超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个月诉讼案件的出现，属于符合司法规律的合理现象。原征求意见稿第（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）项确定的“年底清零”要求，对于临近年底刚刚出现的超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个月案件欠缺合理性，容易导致案件的不恰当处理。因此，本次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调整删除了原指标体系中的第（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）项，但要求年末不存在无正当理由超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个月未结诉讼案件。</w:t>
      </w:r>
      <w:r w:rsidR="00140442">
        <w:rPr>
          <w:rFonts w:ascii="Times New Roman" w:eastAsia="仿宋_GB2312" w:hAnsi="Times New Roman" w:hint="eastAsia"/>
          <w:kern w:val="0"/>
          <w:sz w:val="32"/>
          <w:szCs w:val="32"/>
        </w:rPr>
        <w:t>超</w:t>
      </w:r>
      <w:r w:rsidR="00140442"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 w:rsidR="00140442">
        <w:rPr>
          <w:rFonts w:ascii="Times New Roman" w:eastAsia="仿宋_GB2312" w:hAnsi="Times New Roman" w:hint="eastAsia"/>
          <w:kern w:val="0"/>
          <w:sz w:val="32"/>
          <w:szCs w:val="32"/>
        </w:rPr>
        <w:t>个月诉讼案件不再区分是否有正当理由，年度结束时超</w:t>
      </w:r>
      <w:r w:rsidR="00140442">
        <w:rPr>
          <w:rFonts w:ascii="Times New Roman" w:eastAsia="仿宋_GB2312" w:hAnsi="Times New Roman" w:hint="eastAsia"/>
          <w:kern w:val="0"/>
          <w:sz w:val="32"/>
          <w:szCs w:val="32"/>
        </w:rPr>
        <w:t>18</w:t>
      </w:r>
      <w:r w:rsidR="00140442">
        <w:rPr>
          <w:rFonts w:ascii="Times New Roman" w:eastAsia="仿宋_GB2312" w:hAnsi="Times New Roman" w:hint="eastAsia"/>
          <w:kern w:val="0"/>
          <w:sz w:val="32"/>
          <w:szCs w:val="32"/>
        </w:rPr>
        <w:t>个月未结诉讼案件，有被告人脱逃或不具备受审能力、上级法院内审、向省法院或最高法院请示、等待另一案审结等正当理由的，不计算在内。</w:t>
      </w:r>
    </w:p>
    <w:p w14:paraId="4C591F5C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7.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首执案件执行标的到位率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每个已执结首执案件执行到位率的平均值。</w:t>
      </w:r>
    </w:p>
    <w:p w14:paraId="1214EA16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41.37%-52.50%</w:t>
      </w:r>
    </w:p>
    <w:p w14:paraId="4765036A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8.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首执案件执行完毕率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首次执行案件执行完毕</w:t>
      </w:r>
      <w:r w:rsidR="007D6D2C" w:rsidRPr="007D6D2C">
        <w:rPr>
          <w:rFonts w:ascii="Times New Roman" w:eastAsia="仿宋_GB2312" w:hAnsi="Times New Roman" w:hint="eastAsia"/>
          <w:kern w:val="0"/>
          <w:sz w:val="32"/>
          <w:szCs w:val="32"/>
        </w:rPr>
        <w:t>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首次执行案件结案数。</w:t>
      </w:r>
    </w:p>
    <w:p w14:paraId="0940E6E8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32.22%-40.87%</w:t>
      </w:r>
    </w:p>
    <w:p w14:paraId="19E70D41" w14:textId="77777777" w:rsidR="00884918" w:rsidRDefault="00B80FE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9.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审判调研：按照《审判调研成果评价标准》计算得分。</w:t>
      </w:r>
    </w:p>
    <w:p w14:paraId="4FF42837" w14:textId="77777777" w:rsidR="00884918" w:rsidRDefault="00B80FE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分</w:t>
      </w:r>
    </w:p>
    <w:p w14:paraId="64B7A942" w14:textId="77777777" w:rsidR="00884918" w:rsidRDefault="00884918">
      <w:pPr>
        <w:rPr>
          <w:rFonts w:ascii="Times New Roman" w:eastAsia="黑体" w:hAnsi="Times New Roman" w:cs="黑体"/>
          <w:sz w:val="32"/>
          <w:szCs w:val="40"/>
        </w:rPr>
      </w:pPr>
    </w:p>
    <w:p w14:paraId="74E53CAA" w14:textId="77777777" w:rsidR="00884918" w:rsidRDefault="00B80FE5">
      <w:pPr>
        <w:ind w:firstLineChars="200" w:firstLine="640"/>
        <w:rPr>
          <w:rFonts w:ascii="Times New Roman" w:eastAsia="黑体" w:hAnsi="Times New Roman" w:cs="黑体"/>
          <w:sz w:val="32"/>
          <w:szCs w:val="40"/>
        </w:rPr>
      </w:pPr>
      <w:r>
        <w:rPr>
          <w:rFonts w:ascii="Times New Roman" w:eastAsia="黑体" w:hAnsi="Times New Roman" w:cs="黑体" w:hint="eastAsia"/>
          <w:sz w:val="32"/>
          <w:szCs w:val="40"/>
        </w:rPr>
        <w:t>二、一般指标</w:t>
      </w:r>
    </w:p>
    <w:p w14:paraId="195530FC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10.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民商事案件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45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天内立案率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=1-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（民商事案件超</w:t>
      </w:r>
      <w:r>
        <w:rPr>
          <w:rFonts w:ascii="Times New Roman" w:eastAsia="仿宋_GB2312" w:hAnsi="Times New Roman" w:cs="仿宋_GB2312" w:hint="eastAsia"/>
          <w:sz w:val="32"/>
          <w:szCs w:val="32"/>
        </w:rPr>
        <w:t>45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天立案数</w:t>
      </w:r>
      <w:r>
        <w:rPr>
          <w:rFonts w:ascii="Times New Roman" w:eastAsia="仿宋_GB2312" w:hAnsi="Times New Roman" w:cs="仿宋_GB2312" w:hint="eastAsia"/>
          <w:sz w:val="32"/>
          <w:szCs w:val="32"/>
        </w:rPr>
        <w:t>+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民商事诉前超</w:t>
      </w:r>
      <w:r>
        <w:rPr>
          <w:rFonts w:ascii="Times New Roman" w:eastAsia="仿宋_GB2312" w:hAnsi="Times New Roman" w:cs="仿宋_GB2312" w:hint="eastAsia"/>
          <w:sz w:val="32"/>
          <w:szCs w:val="32"/>
        </w:rPr>
        <w:t>45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天未立数）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（民商事案件已立案数</w:t>
      </w:r>
      <w:r>
        <w:rPr>
          <w:rFonts w:ascii="Times New Roman" w:eastAsia="仿宋_GB2312" w:hAnsi="Times New Roman" w:cs="仿宋_GB2312" w:hint="eastAsia"/>
          <w:sz w:val="32"/>
          <w:szCs w:val="32"/>
        </w:rPr>
        <w:t>+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民商事诉前案件数）。</w:t>
      </w:r>
    </w:p>
    <w:p w14:paraId="7444E453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【参考区间】≥</w:t>
      </w:r>
      <w:r>
        <w:rPr>
          <w:rFonts w:ascii="Times New Roman" w:eastAsia="仿宋_GB2312" w:hAnsi="Times New Roman" w:cs="仿宋_GB2312" w:hint="eastAsia"/>
          <w:sz w:val="32"/>
          <w:szCs w:val="32"/>
        </w:rPr>
        <w:t>85%</w:t>
      </w:r>
    </w:p>
    <w:p w14:paraId="11F82783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诉前调解成功分流率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诉前调解成功案件数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诉至法院的纠纷数。</w:t>
      </w:r>
    </w:p>
    <w:p w14:paraId="78107AAB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30.83%-42.83%</w:t>
      </w:r>
    </w:p>
    <w:p w14:paraId="2B3EE729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12.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诉前调解案件申请执行率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诉前调解申请执行案件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诉前调解成功案件。</w:t>
      </w:r>
    </w:p>
    <w:p w14:paraId="2736DF3F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1.57%-5.66%</w:t>
      </w:r>
    </w:p>
    <w:p w14:paraId="7F1F3512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13.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申诉申请再审率（基层）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申诉申请再审新收案件数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生效案件数。</w:t>
      </w:r>
    </w:p>
    <w:p w14:paraId="6B43F4CA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0.2%-0.4%</w:t>
      </w:r>
    </w:p>
    <w:p w14:paraId="2912CFF6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14.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案访比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案件总量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进京、赴省访数量。</w:t>
      </w:r>
    </w:p>
    <w:p w14:paraId="51C0DD78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500</w:t>
      </w:r>
    </w:p>
    <w:p w14:paraId="6EFD1AE9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）积案指数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（分调裁平台诉前调解未结案件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诉调回流未立案案件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诉中未结案件）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全年收案数；（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）民商事诉前积案指数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（分调裁平台诉前调解未结案件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诉调回流未立案案件）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民事一审案件全年收案数；（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）未结案件占比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诉中未结案件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全年收案数。</w:t>
      </w:r>
    </w:p>
    <w:p w14:paraId="7EFE4012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宋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【参考区间】积案指数</w:t>
      </w:r>
      <w:r>
        <w:rPr>
          <w:rFonts w:ascii="Times New Roman" w:eastAsia="宋体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，且民商事诉前积案指数、未结案件占比均</w:t>
      </w:r>
      <w:r>
        <w:rPr>
          <w:rFonts w:ascii="Times New Roman" w:eastAsia="宋体" w:hAnsi="Times New Roman" w:hint="eastAsia"/>
          <w:kern w:val="0"/>
          <w:sz w:val="32"/>
          <w:szCs w:val="32"/>
        </w:rPr>
        <w:t>≤</w:t>
      </w:r>
      <w:r>
        <w:rPr>
          <w:rFonts w:ascii="Times New Roman" w:eastAsia="宋体" w:hAnsi="Times New Roman" w:hint="eastAsia"/>
          <w:kern w:val="0"/>
          <w:sz w:val="32"/>
          <w:szCs w:val="32"/>
        </w:rPr>
        <w:t>12.5%</w:t>
      </w:r>
    </w:p>
    <w:p w14:paraId="7AECF43D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16.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个月未结案件占比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个月未结诉讼案件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全年收案数。</w:t>
      </w:r>
    </w:p>
    <w:p w14:paraId="6F62B22E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宋体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‰</w:t>
      </w:r>
    </w:p>
    <w:p w14:paraId="385A8FD0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17.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首执案件终本率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首次执行案件终本结案数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首次执行案件结案数。</w:t>
      </w:r>
    </w:p>
    <w:p w14:paraId="054BF735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32.13%-42.96%</w:t>
      </w:r>
    </w:p>
    <w:p w14:paraId="4E575B29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18.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司法建议：（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）司法建议数量；（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）司法建议反馈率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收到书面答复的司法建议数量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同一统计区间提出司法建议的数量。</w:t>
      </w:r>
    </w:p>
    <w:p w14:paraId="0851027F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）上半年提出司法建议数量不为零，全年提出司法建议数量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1-3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篇；（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）司法建议反馈率大于等于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26D98A5F" w14:textId="77777777" w:rsidR="00884918" w:rsidRDefault="00B80FE5">
      <w:pPr>
        <w:ind w:firstLineChars="200" w:firstLine="640"/>
        <w:rPr>
          <w:rFonts w:ascii="Times New Roman" w:eastAsia="黑体" w:hAnsi="Times New Roman" w:cs="黑体"/>
          <w:sz w:val="32"/>
          <w:szCs w:val="40"/>
        </w:rPr>
      </w:pPr>
      <w:r>
        <w:rPr>
          <w:rFonts w:ascii="Times New Roman" w:eastAsia="黑体" w:hAnsi="Times New Roman" w:cs="黑体" w:hint="eastAsia"/>
          <w:sz w:val="32"/>
          <w:szCs w:val="40"/>
        </w:rPr>
        <w:t>三、平衡指标</w:t>
      </w:r>
    </w:p>
    <w:p w14:paraId="029E15E3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strike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19.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法院一审诉讼收案数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刑事、民事、行政一审案件收案数。</w:t>
      </w:r>
    </w:p>
    <w:p w14:paraId="05BA61DC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strike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【评价方式】一审诉讼收案数超过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7000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件的法院，无正当理由超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个月未满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18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个月未结诉讼案件在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件以内，且无超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18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个月未结诉讼案件的，超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strike/>
          <w:kern w:val="0"/>
          <w:sz w:val="32"/>
          <w:szCs w:val="32"/>
        </w:rPr>
        <w:t>个月未结诉讼案件指标视为达到参考区间。</w:t>
      </w:r>
    </w:p>
    <w:p w14:paraId="5A48F7D5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【指标调整说明】因超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个月诉讼案件占比指标调整，删除了年底超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个月未结诉讼案件数量清零的要求，仅评价超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个月诉讼案件比例，此时案件体量大小对该指标再无影响，故同步删去该指标。</w:t>
      </w:r>
    </w:p>
    <w:p w14:paraId="3C589F14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19.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员额法官人均结案数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结案数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员额法官人数。该数据以山东法院网上办案统计监管平台数据为准。</w:t>
      </w:r>
    </w:p>
    <w:p w14:paraId="2EDBA4B9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【评价方式】员额法官人均结案数在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件以上的法院，有一般指标未达到参考区间的，可以视为其中一项一般指标达到参考区间。</w:t>
      </w:r>
    </w:p>
    <w:p w14:paraId="3B4B1A9C" w14:textId="77777777" w:rsidR="00884918" w:rsidRDefault="00B80FE5">
      <w:pPr>
        <w:ind w:firstLineChars="200" w:firstLine="640"/>
        <w:rPr>
          <w:rFonts w:ascii="Times New Roman" w:eastAsia="黑体" w:hAnsi="Times New Roman" w:cs="黑体"/>
          <w:sz w:val="32"/>
          <w:szCs w:val="40"/>
        </w:rPr>
      </w:pPr>
      <w:r>
        <w:rPr>
          <w:rFonts w:ascii="Times New Roman" w:eastAsia="黑体" w:hAnsi="Times New Roman" w:cs="黑体" w:hint="eastAsia"/>
          <w:sz w:val="32"/>
          <w:szCs w:val="40"/>
        </w:rPr>
        <w:t>四、中院自评指标</w:t>
      </w:r>
    </w:p>
    <w:p w14:paraId="4B489E80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【说明】本部分为新增指标，主要是按照最高院指标体系规定或根据实际情况不宜评价基层法院，或必须与基层法院分别评价的指标。</w:t>
      </w:r>
    </w:p>
    <w:p w14:paraId="3BF56772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20.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件比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案数：件数。</w:t>
      </w:r>
    </w:p>
    <w:p w14:paraId="508E5D2D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1.41-1.54</w:t>
      </w:r>
    </w:p>
    <w:p w14:paraId="00995C3F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【指标调整说明】最高院指标体系规定不宜直接适用于某一具体法院。</w:t>
      </w:r>
    </w:p>
    <w:p w14:paraId="167488A6" w14:textId="77777777" w:rsidR="008D293E" w:rsidRPr="008D293E" w:rsidRDefault="00B80FE5" w:rsidP="008D293E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21.</w:t>
      </w:r>
      <w:r w:rsidR="008D293E">
        <w:rPr>
          <w:rFonts w:ascii="Times New Roman" w:eastAsia="仿宋_GB2312" w:hAnsi="Times New Roman" w:hint="eastAsia"/>
          <w:kern w:val="0"/>
          <w:sz w:val="32"/>
          <w:szCs w:val="32"/>
        </w:rPr>
        <w:t>生效裁判被改判率</w:t>
      </w:r>
      <w:r w:rsidR="008D293E"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 w:rsidR="008D293E" w:rsidRPr="008D293E">
        <w:rPr>
          <w:rFonts w:ascii="Times New Roman" w:eastAsia="仿宋_GB2312" w:hAnsi="Times New Roman" w:hint="eastAsia"/>
          <w:kern w:val="0"/>
          <w:sz w:val="32"/>
          <w:szCs w:val="32"/>
        </w:rPr>
        <w:t>生效裁判被再审改判数</w:t>
      </w:r>
      <w:r w:rsidR="008D293E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8D293E" w:rsidRPr="008D293E">
        <w:rPr>
          <w:rFonts w:ascii="Times New Roman" w:eastAsia="仿宋_GB2312" w:hAnsi="Times New Roman" w:hint="eastAsia"/>
          <w:kern w:val="0"/>
          <w:sz w:val="32"/>
          <w:szCs w:val="32"/>
        </w:rPr>
        <w:t>生效案件数。</w:t>
      </w:r>
    </w:p>
    <w:p w14:paraId="0FAAFEC8" w14:textId="77777777" w:rsidR="008D293E" w:rsidRDefault="008D293E" w:rsidP="008D293E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 w:rsidRPr="008D293E"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 w:rsidR="00954081" w:rsidRPr="00954081">
        <w:rPr>
          <w:rFonts w:ascii="Times New Roman" w:eastAsia="仿宋_GB2312" w:hAnsi="Times New Roman" w:hint="eastAsia"/>
          <w:kern w:val="0"/>
          <w:sz w:val="32"/>
          <w:szCs w:val="32"/>
        </w:rPr>
        <w:t>0.085%</w:t>
      </w:r>
      <w:r w:rsidR="00954081" w:rsidRPr="00954081">
        <w:rPr>
          <w:rFonts w:ascii="Times New Roman" w:eastAsia="仿宋_GB2312" w:hAnsi="Times New Roman"/>
          <w:kern w:val="0"/>
          <w:sz w:val="32"/>
          <w:szCs w:val="32"/>
        </w:rPr>
        <w:t>-</w:t>
      </w:r>
      <w:r w:rsidR="00954081" w:rsidRPr="00954081">
        <w:rPr>
          <w:rFonts w:ascii="Times New Roman" w:eastAsia="仿宋_GB2312" w:hAnsi="Times New Roman" w:hint="eastAsia"/>
          <w:kern w:val="0"/>
          <w:sz w:val="32"/>
          <w:szCs w:val="32"/>
        </w:rPr>
        <w:t>0.165%</w:t>
      </w:r>
    </w:p>
    <w:p w14:paraId="2DFCFFA8" w14:textId="77777777" w:rsidR="008D293E" w:rsidRDefault="008D293E" w:rsidP="008D293E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 w:rsidRPr="008D293E"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</w:t>
      </w:r>
      <w:r w:rsidR="00954081" w:rsidRPr="00954081">
        <w:rPr>
          <w:rFonts w:ascii="Times New Roman" w:eastAsia="仿宋_GB2312" w:hAnsi="Times New Roman" w:hint="eastAsia"/>
          <w:kern w:val="0"/>
          <w:sz w:val="32"/>
          <w:szCs w:val="32"/>
        </w:rPr>
        <w:t>与最高院指标体系口径一致</w:t>
      </w:r>
      <w:r w:rsidR="00954081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5DE8ACAE" w14:textId="77777777" w:rsidR="00954081" w:rsidRDefault="00954081" w:rsidP="008D293E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22.</w:t>
      </w:r>
      <w:r w:rsidRPr="00954081">
        <w:rPr>
          <w:rFonts w:hint="eastAsia"/>
        </w:rPr>
        <w:t xml:space="preserve"> </w:t>
      </w: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生效裁判被发回重审率</w:t>
      </w: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生效裁判被再审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发回重审</w:t>
      </w: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数</w:t>
      </w: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生效案件数。</w:t>
      </w:r>
    </w:p>
    <w:p w14:paraId="42356CD6" w14:textId="77777777" w:rsidR="00954081" w:rsidRPr="00954081" w:rsidRDefault="00954081" w:rsidP="00954081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0.016%</w:t>
      </w:r>
      <w:r w:rsidRPr="00954081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0.046%</w:t>
      </w:r>
    </w:p>
    <w:p w14:paraId="169D12D4" w14:textId="77777777" w:rsidR="00954081" w:rsidRPr="00954081" w:rsidRDefault="00954081" w:rsidP="00954081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 w:rsidRPr="00954081"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【指标调整说明】与最高院指标体系口径一致。</w:t>
      </w:r>
    </w:p>
    <w:p w14:paraId="22E814A0" w14:textId="77777777" w:rsidR="00884918" w:rsidRDefault="008D293E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954081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 w:rsidR="00B80FE5">
        <w:rPr>
          <w:rFonts w:ascii="Times New Roman" w:eastAsia="仿宋_GB2312" w:hAnsi="Times New Roman" w:hint="eastAsia"/>
          <w:kern w:val="0"/>
          <w:sz w:val="32"/>
          <w:szCs w:val="32"/>
        </w:rPr>
        <w:t>申诉申请再审率（全市）</w:t>
      </w:r>
      <w:r w:rsidR="00B80FE5"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 w:rsidR="00B80FE5">
        <w:rPr>
          <w:rFonts w:ascii="Times New Roman" w:eastAsia="仿宋_GB2312" w:hAnsi="Times New Roman" w:hint="eastAsia"/>
          <w:kern w:val="0"/>
          <w:sz w:val="32"/>
          <w:szCs w:val="32"/>
        </w:rPr>
        <w:t>申诉、申请再审案件数</w:t>
      </w:r>
      <w:r w:rsidR="00B80FE5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B80FE5">
        <w:rPr>
          <w:rFonts w:ascii="Times New Roman" w:eastAsia="仿宋_GB2312" w:hAnsi="Times New Roman" w:hint="eastAsia"/>
          <w:kern w:val="0"/>
          <w:sz w:val="32"/>
          <w:szCs w:val="32"/>
        </w:rPr>
        <w:t>生效案件数。</w:t>
      </w:r>
    </w:p>
    <w:p w14:paraId="3C6C0E26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1.646%-2.366%</w:t>
      </w:r>
    </w:p>
    <w:p w14:paraId="1867A159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【指标调整说明】因中院参与，基层法院设定的参考区间值与最高院指标体系存在较大差距。</w:t>
      </w:r>
    </w:p>
    <w:p w14:paraId="5AA58921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954081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裁定再审率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（本院和上级法院决定再审数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提审数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指令再审数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指定再审数）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生效案件数</w:t>
      </w:r>
      <w:r w:rsidR="0026204D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1B8AA0DD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0.189%-0.284%</w:t>
      </w:r>
    </w:p>
    <w:p w14:paraId="304A0B03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因基层法院申请再审案件较少，该指标难以单独评价基层法院。同时，最高院指标体系所确定的口径（仅评价本院裁定再审的比例）适合省级辖区（绝大多数案件的再审审查都在辖区内），但不适合市级辖区（大多数案件的再审审查都在辖区外）。同时，最高院指标体系规定的分母为申诉、申请再审案件结案数，这一数值受到申诉、申请再审率的影响，容易产生“注水效应”。因此，我们将分子调整为本院辖区内被裁定再审的案件，分母调整为生效案件，并根据全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年度数值确定了参考区间。</w:t>
      </w:r>
    </w:p>
    <w:p w14:paraId="23954BEE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954081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审限内结案率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实际审执结天数在法定审执期限内的结案数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由法定审执期限案件结案数</w:t>
      </w:r>
    </w:p>
    <w:p w14:paraId="318EBB22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89.99%-94.86%</w:t>
      </w:r>
    </w:p>
    <w:p w14:paraId="4BADE0BE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【指标调整说明】与最高院指标体系口径一致，因我们已采用审限变更率作为调度指标，故将该指标列为自评指标。</w:t>
      </w:r>
    </w:p>
    <w:p w14:paraId="6893A73F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954081"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延长审限率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办理延长审限的案件数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有法定审执期限案件受理数</w:t>
      </w:r>
    </w:p>
    <w:p w14:paraId="03840E02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0.22%-1.10%</w:t>
      </w:r>
    </w:p>
    <w:p w14:paraId="7C1A0856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【指标调整说明】与最高院指标体系口径一致，因我们已采用审限变更率作为调度指标，故将该指标列为自评指标。</w:t>
      </w:r>
    </w:p>
    <w:p w14:paraId="0DBED27E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954081"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上诉案件移送时间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=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上诉案件移送总天数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上诉案件数</w:t>
      </w:r>
    </w:p>
    <w:p w14:paraId="6C9DDA00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【参考区间】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58.52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天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-84.17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天</w:t>
      </w:r>
    </w:p>
    <w:p w14:paraId="7EC134F9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【指标调整说明】与最高院指标体系口径一致。因该指标既涉及基层法院准备上诉材料的时间，也涉及中院立案审查、诉前调解用时，因此不宜单独评价基层法院，将其纳入中院自评指标。</w:t>
      </w:r>
    </w:p>
    <w:p w14:paraId="551A21C7" w14:textId="77777777" w:rsidR="00884918" w:rsidRDefault="00B80FE5">
      <w:pPr>
        <w:suppressAutoHyphens/>
        <w:spacing w:line="600" w:lineRule="exact"/>
        <w:ind w:firstLineChars="200" w:firstLine="640"/>
        <w:contextualSpacing/>
        <w:rPr>
          <w:rFonts w:ascii="Times New Roman" w:eastAsia="黑体" w:hAnsi="Times New Roman" w:cs="黑体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五、评价原则和评价方式</w:t>
      </w:r>
    </w:p>
    <w:p w14:paraId="668EA9BB" w14:textId="77777777" w:rsidR="00884918" w:rsidRDefault="00B80FE5">
      <w:pPr>
        <w:suppressAutoHyphens/>
        <w:spacing w:line="600" w:lineRule="exact"/>
        <w:ind w:firstLineChars="200" w:firstLine="640"/>
        <w:contextualSpacing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（一）基本原则</w:t>
      </w:r>
    </w:p>
    <w:p w14:paraId="0A124DFE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遵循司法规律原则：重点评价案件办理的质量和效果，适当兼顾办案效率。移除部分实践中争议较大或整体质效较好、无需投入过多资源的指标，为案件体量大、人均办案压力大的法院设定平衡指标，确保评价结论符合客观实际。</w:t>
      </w:r>
    </w:p>
    <w:p w14:paraId="7B46C1B1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客观科学原则：科学厘定各主要办案指标的参考区间，尽量保证评价范围科学合理。依托技术平台全面核实数据来源和指向，确保评价所依据的数据来源真实。严厉打击违规控制数据、数据“注水”、数据“搬家”、数据造假等行为，一经发现或举报核实，一律取消评先资格，并通报批评，情节严重的转督察部门依法依规处理。</w:t>
      </w:r>
    </w:p>
    <w:p w14:paraId="64819AE2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独立评价原则：对各基层法院审判执行质效进行独立评价，不再横向对比，不简单排名，不以数据高低、排名先后作为判断工作优劣的依据。</w:t>
      </w:r>
    </w:p>
    <w:p w14:paraId="5B1FCC68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（二）评价方式</w:t>
      </w:r>
    </w:p>
    <w:p w14:paraId="6DF198BB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指标评价：本指标体系共包含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954081"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个指标。对基层法院的评价适用第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1-19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项指标，其中平衡指标仅用于评价符合适用条件的法院，不作单独评价；中院定期组织对全部指标进行统计和会商，作为对中院和全市法院整体的评价。除平衡指标外，其余指标均标注了具体参考区间，根据是否达到参考区间作出评价——未达到参考区间的视为不达标，达到或优于参考区间的视为达标，但超过参考区间的应警惕是否存在质效异常。</w:t>
      </w:r>
    </w:p>
    <w:p w14:paraId="687D2DCD" w14:textId="77777777" w:rsidR="00884918" w:rsidRDefault="00B80FE5">
      <w:pPr>
        <w:suppressAutoHyphens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整体评价：每家基层法院的审判执行质效整体评价分为“优秀”“良好”“合格”三个等次，各等次数量不限，根据以下标准确定：</w:t>
      </w:r>
    </w:p>
    <w:p w14:paraId="2552F2A8" w14:textId="77777777" w:rsidR="00884918" w:rsidRDefault="00B80FE5" w:rsidP="00881C30">
      <w:pPr>
        <w:suppressAutoHyphens/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“优秀”等次：达标指标数量达到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个以上，且未达标核心指标数量在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个以下的；</w:t>
      </w:r>
    </w:p>
    <w:p w14:paraId="7A33E10F" w14:textId="77777777" w:rsidR="00884918" w:rsidRDefault="00B80FE5" w:rsidP="00881C30">
      <w:pPr>
        <w:suppressAutoHyphens/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“合格”等次：达标指标数量在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个以下，或未达标核心指标数量在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个以上的；</w:t>
      </w:r>
    </w:p>
    <w:p w14:paraId="334DE7F9" w14:textId="77777777" w:rsidR="00884918" w:rsidRDefault="00B80FE5" w:rsidP="00881C30">
      <w:pPr>
        <w:suppressAutoHyphens/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“良好”等次：除“优秀”“合格”之外的其他情形。</w:t>
      </w:r>
    </w:p>
    <w:p w14:paraId="4EC9081C" w14:textId="77777777" w:rsidR="00884918" w:rsidRDefault="00B80FE5" w:rsidP="00881C30">
      <w:pPr>
        <w:suppressAutoHyphens/>
        <w:spacing w:line="580" w:lineRule="exact"/>
        <w:ind w:firstLineChars="200"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（三）结果运用</w:t>
      </w:r>
    </w:p>
    <w:p w14:paraId="1148ED0C" w14:textId="77777777" w:rsidR="00884918" w:rsidRDefault="00B80FE5" w:rsidP="00881C30">
      <w:pPr>
        <w:suppressAutoHyphens/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评价结果作为通报情况和评先树优的主要依据，并作为营商环境“解决商业纠纷”指标考核的主要依据。</w:t>
      </w:r>
    </w:p>
    <w:p w14:paraId="35BA94CA" w14:textId="77777777" w:rsidR="00884918" w:rsidRDefault="00B80FE5" w:rsidP="00881C30">
      <w:pPr>
        <w:suppressAutoHyphens/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本办法仅用于评价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</w:t>
      </w:r>
      <w:r w:rsidR="000664DA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各基层法院审判执行质效情况，各基层法院要牢固树立科学管理理念，严禁机械套用、拆解本指标体系直接考核法官。要坚持科学衔接审判质量管理与法官绩效考核，将“评案”与“考人”协调贯通，建立健全符合本院实际情况的全员绩效评价办法。</w:t>
      </w:r>
    </w:p>
    <w:p w14:paraId="51EAE266" w14:textId="77777777" w:rsidR="00884918" w:rsidRDefault="00B80FE5" w:rsidP="00881C30">
      <w:pPr>
        <w:suppressAutoHyphens/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本办法仅用于内部执法办案质效评价和数据会商，不代表对法院全面工作的评价，严禁在年度工作报告、新闻发布会等公开场合使用评估结果。</w:t>
      </w:r>
    </w:p>
    <w:p w14:paraId="3AFC34CD" w14:textId="77777777" w:rsidR="00884918" w:rsidRDefault="00B80FE5" w:rsidP="00881C30">
      <w:pPr>
        <w:suppressAutoHyphens/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中院各条线开展的质效评价、评先树优、业务竞赛等活动中，涉及本办法中划定参考区间的质效指标的，应以本办法划定的评价方式和参考区间为准，不得采取排名或超出参考区间的评价方式。涉及本办法中未划定参考区间展示指标的，可以探索划定参考区间，尽量避免采取权重排名方式</w:t>
      </w:r>
    </w:p>
    <w:p w14:paraId="78827CD4" w14:textId="77777777" w:rsidR="00884918" w:rsidRDefault="00B80FE5" w:rsidP="00881C30">
      <w:pPr>
        <w:suppressAutoHyphens/>
        <w:spacing w:line="580" w:lineRule="exact"/>
        <w:ind w:right="640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本办法中的所有数据均包含本数。</w:t>
      </w:r>
    </w:p>
    <w:p w14:paraId="40FBC17C" w14:textId="77777777" w:rsidR="00884918" w:rsidRDefault="00B80FE5" w:rsidP="00881C30">
      <w:pPr>
        <w:suppressAutoHyphens/>
        <w:spacing w:line="580" w:lineRule="exact"/>
        <w:ind w:right="-58" w:firstLineChars="150" w:firstLine="480"/>
        <w:rPr>
          <w:rFonts w:ascii="Times New Roman" w:eastAsia="仿宋_GB2312" w:hAnsi="Times New Roman"/>
          <w:kern w:val="0"/>
          <w:sz w:val="32"/>
          <w:szCs w:val="32"/>
        </w:rPr>
        <w:sectPr w:rsidR="0088491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本办法由中院审管办解释，审判调研部分由中院研究室、宣传处解释。</w:t>
      </w:r>
    </w:p>
    <w:p w14:paraId="153A7E40" w14:textId="77777777" w:rsidR="00884918" w:rsidRDefault="00B80FE5">
      <w:pPr>
        <w:spacing w:line="580" w:lineRule="exac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附件：</w:t>
      </w:r>
    </w:p>
    <w:p w14:paraId="000A2CAE" w14:textId="77777777" w:rsidR="00884918" w:rsidRDefault="00B80FE5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审判调研成果评价标准</w:t>
      </w:r>
    </w:p>
    <w:p w14:paraId="2160B101" w14:textId="77777777" w:rsidR="00884918" w:rsidRDefault="00884918">
      <w:pPr>
        <w:spacing w:line="560" w:lineRule="exact"/>
        <w:ind w:firstLineChars="200" w:firstLine="608"/>
        <w:contextualSpacing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14:paraId="15734A22" w14:textId="77777777" w:rsidR="00884918" w:rsidRDefault="00B80FE5">
      <w:pPr>
        <w:spacing w:line="580" w:lineRule="exact"/>
        <w:ind w:firstLineChars="200" w:firstLine="608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8"/>
          <w:sz w:val="32"/>
          <w:szCs w:val="32"/>
        </w:rPr>
        <w:t>一、具体项目</w:t>
      </w:r>
    </w:p>
    <w:p w14:paraId="02EFC881" w14:textId="77777777" w:rsidR="00884918" w:rsidRDefault="00B80FE5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（一）工作宣传类</w:t>
      </w:r>
    </w:p>
    <w:p w14:paraId="43EBC1A6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中央媒体。在人民日报、新华社新闻时政类刊物、中央电视台新闻联播刊发正面宣传报道的，每篇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求是、解放军报、光明日报、经济日报、中国日报、中央人民广播电台、中央电视台、中央国际广播电台、科技日报、中国纪检监察报、工人日报、中国青年报、中国妇女报、农民日报、法治日报、中新社刊发正面宣传稿件的，每篇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分；在人民法院报、《人民司法》刊发正面宣传报道的，每篇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分。在以上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18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家中央媒体（不含人民法院报、人民司法）对应的网络媒体平台、法治日报、人民法院报主办的期刊杂志等刊发正面宣传报道，每篇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5-10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分不等。以上计分中，重量级报道或小篇幅稿件视情况酌加或酌减。（内部掌握：新华社、新华财经计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分；中国审判、法治参考、新华网、人民网、央视网、中国新闻网、中国网、中国日报网、光明网、法治网等计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分，地方频道按省级媒体计分，滨州频道不计分）</w:t>
      </w:r>
    </w:p>
    <w:p w14:paraId="4670CD68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省级媒体。在山东新闻联播刊发正面宣传报道的，每篇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分；在大众日报、山东电视台刊发正面宣传报道的，每篇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分；在齐鲁晚报、山东法制报刊发正面报道的，每篇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分；在省级网络媒体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包括大众日报客户端、山东广播电视台齐鲁网网站、闪电新闻客户端、齐鲁壹点客户端、大众网网站、海报新闻客户端、鲁网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刊发正面宣传报道的，每篇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分。重量级报道或小篇幅稿件视情况酌加或酌减。</w:t>
      </w:r>
    </w:p>
    <w:p w14:paraId="7084DFED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市级媒体。在滨州日报刊发正面宣传报道，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字以上，每篇计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分，头版头条计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分；在滨州电视台刊发正面宣传报道，每篇计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分，滨州新闻联播或独立节目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分；在市委、市政府、市委政法委、市委宣传部、中院公众号刊发正面宣传报道的，每篇计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0.5-1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</w:t>
      </w:r>
    </w:p>
    <w:p w14:paraId="348F7C70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以上宣传报道被媒体转载的，不重复计分。多个单位参与宣传报道的，视情况分配各自得分。参加市委政法委、省法院、其他省直单位组织大型宣传活动，展示滨州法院工作亮点的，分别计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</w:t>
      </w:r>
    </w:p>
    <w:p w14:paraId="7FA5998B" w14:textId="77777777" w:rsidR="00884918" w:rsidRDefault="00B80FE5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（二）案例文书类</w:t>
      </w:r>
    </w:p>
    <w:p w14:paraId="0F0066EE" w14:textId="77777777" w:rsidR="00884918" w:rsidRDefault="00B80FE5">
      <w:pPr>
        <w:spacing w:line="58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被《最高人民法院指导性案例》《最高人民法院公报》采用的，每个案例计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分；被《人民法院案例选》《人民司法</w:t>
      </w:r>
      <w:r>
        <w:rPr>
          <w:rFonts w:ascii="Times New Roman" w:eastAsia="仿宋_GB2312" w:hAnsi="Times New Roman" w:cs="Times New Roman" w:hint="cs"/>
          <w:spacing w:val="-8"/>
          <w:sz w:val="32"/>
          <w:szCs w:val="32"/>
        </w:rPr>
        <w:t>•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案例》采用的，每个案例计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分；被《中国法院年度案例》《中国审判案例要览》、最高人民法院审判指导类辑刊丛书采用的，每个案例计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分；被人民法院案例库、省法院《案例与指导》采用的，每个案例计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分；入选省法院精品化案例库的，每个案例计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分。</w:t>
      </w:r>
    </w:p>
    <w:p w14:paraId="1D796EA3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入选最高人民法院年度“百篇优秀裁判文书”“百场优秀庭审”的，分别计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分；在最高人民法院组织的年度优秀案例分析评选活动中获得一等奖、二等奖、三等奖、优秀奖的，分别计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分；在省法院组织的年度优秀裁判文书、优秀案例分析评选活动中获得一等奖、二等奖、三等奖、优秀奖的，分别计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分；入选省法院年度“十大优秀庭审”的，计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分；在中院组织的年度优秀裁判文书、优秀案例分析评选活动中获得一等奖、二等奖、三等奖、优秀奖的，分别计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分。在全国法院、省法院组织的专项裁判文书、案例、庭审评选中获奖的，按同等标准的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1/3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计分。法律适用型典型案例在最高法院各类内刊刊发的每篇计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分，在省法院各类内刊刊发的每篇计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</w:t>
      </w:r>
    </w:p>
    <w:p w14:paraId="56962334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被评为全国法院年度十大案件的，每个案例计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分；被评为全省法院年度十大案件的，每个案例计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分；被评为全市法院年度十大案件的，每个案例计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分。被评为某一类型年度案件或入选某一类型典型案事例的，减半计分。</w:t>
      </w:r>
    </w:p>
    <w:p w14:paraId="58D16060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在法答网答复问题的，每个计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0.1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分，每年最高</w:t>
      </w:r>
      <w:r>
        <w:rPr>
          <w:rFonts w:ascii="Times New Roman" w:eastAsia="仿宋_GB2312" w:hAnsi="Times New Roman" w:cs="仿宋_GB2312" w:hint="eastAsia"/>
          <w:color w:val="FF0000"/>
          <w:kern w:val="0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分；入选全市法院精品问答的，提问计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0.3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分，答复计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分；入选全省法院精品问答的，提问计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分，答复计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分；入选全国法院精品问答的，提问计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分，答复计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</w:t>
      </w:r>
    </w:p>
    <w:p w14:paraId="736B1E96" w14:textId="77777777" w:rsidR="00884918" w:rsidRDefault="00B80FE5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（三）调查研究类</w:t>
      </w:r>
    </w:p>
    <w:p w14:paraId="6F8146EB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主持最高人民法院司法研究重大课题并结项的，每项计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分；主持最高人民法院司法案例研究课题、司法统计课题及最高人民法院相关庭室发布的课题并结项的，每项计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分；主持国家治理与法学理论研究项目、中国法学会部级研究课题、山东省社会科学规划研究项目并结项的，每项计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分；主持山东法官学院课题并结项的，每项计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分；主持市级课题并结项的，每项计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分。验收获得优秀的，加倍计分。课题参与人员按工作量折算计分，总计不超过课题总分。</w:t>
      </w:r>
    </w:p>
    <w:p w14:paraId="4D8A8AE6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在全国法院系统学术讨论会评选中获得一等奖、二等奖、三等奖、优秀奖的，分别计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分；在全省法院学术讨论会评选中获得一等奖、二等奖、三等奖、优秀奖的，分别计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分；在全市法院学术讨论会评选中获得一等奖、二等奖、三等奖、优秀奖的，分别计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分。在中国法学家论坛、中国法治论坛、中国法学家青年论坛、中国审判理论研究会及“羊城杯”主题征文、应用法学研讨等其他国家级理论研讨活动征文中获得一等奖、二等奖、三等奖、优秀奖的，分别计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分；在中国审判理论研究会各分会、全国性各研究会理论研讨活动征文中，获得一等奖、二等奖、三等奖的，分别计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分。在全省性各类理论研讨活动征文、全省法院各专项调研成果评选中获得一等奖、二等奖、三等奖的，分别计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分；在滨州法治论坛等市级理论研讨活动征文中，获得一等奖、二等奖、三等奖的，分别计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分。在全省社科优秀成果奖评选中获得一等奖、二等奖、三等奖的，分别计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分；在全市社科优秀成果奖评选中获得一等奖、二等奖、三等奖的，分别计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分。被评为全国、全省、全市优秀司法建议的，参照同等级别一般性论文获奖计分，不分获奖等次的按照二等奖计分。</w:t>
      </w:r>
    </w:p>
    <w:p w14:paraId="56FF7830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公开出版业务类专著的，在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CSSCI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来源期（集）刊（含扩展版）、中文核心期刊上发表的，每本（篇）计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80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分；公开出版业务类编著或汇编的，每本计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分。参与编写出版业务类专著、编著或汇编，按实际编写工作量折算分数，参与人员加分总计不超过每本总分。在《人民司法</w:t>
      </w:r>
      <w:r>
        <w:rPr>
          <w:rFonts w:ascii="Times New Roman" w:eastAsia="仿宋_GB2312" w:hAnsi="Times New Roman" w:cs="仿宋_GB2312" w:hint="cs"/>
          <w:kern w:val="0"/>
          <w:sz w:val="32"/>
          <w:szCs w:val="32"/>
        </w:rPr>
        <w:t>•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应用》上发表的，每篇计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分。在《山东法官培训学院学报》发表的，每篇计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分。论文在其他省级以上刊物公开发表的，每篇计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分。法学理论文章在最高法院各类内刊刊发的，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字以上的每篇计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分，在省法院各类内刊刊发的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字以上的，每篇计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</w:t>
      </w:r>
    </w:p>
    <w:p w14:paraId="21B2B317" w14:textId="77777777" w:rsidR="00884918" w:rsidRDefault="00B80FE5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（四）经验简报类</w:t>
      </w:r>
    </w:p>
    <w:p w14:paraId="5F8D312D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在全国性工作会议上作典型发言的每次计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分，作书面经验交流的每次计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分；在全国性专项工作会议上作典型发言的每次计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分，作书面经验交流的每次计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分。在全省性会议上作典型发言的，每次计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分；在全省性专项工作会议上作典型发言的，每次计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分；在全市性专项工作会议上作典型发言的，每次计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分。承办最高人民法院二类以上会议的，每次计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分；承办省法院全省性会议的，每次计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分。上述典型发言不包括调度会议发言，全部发言的不计分。被确定为全国法院试点的，计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分，被确定为省法院试点的，计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分；按照计划完成试点工作任务的，按照以上标准再次计分。</w:t>
      </w:r>
    </w:p>
    <w:p w14:paraId="46A4718D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被最高人民法院、省委信息采用的，每篇计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分。被山东法院简报、山东法院简报（信息专刊）采用的，每篇分别计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分；今日信息（要情）和今日信息（专报）采用的，每篇计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15 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分；被山东法院今日信息采用，单发的每篇计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分，合发的每篇计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分；山东高法信息（约稿）中，对成稿有重要参考价值的，每篇计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分；对成稿仅有素材价值的，每篇计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分；质量较差、没有参考价值的不予计分。被省委政法委信息采用的，比照省法院同等情况计分。被滨州市委信息载体采用，单发的，每篇计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分，合发的每篇计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分；以县区名义不以县区法院采用的减半计分。被滨州法院信息采用，单发的，每篇计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分，合发的，每篇计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分。被市委政法委信息采用的，比照中院同等情况计分。其他信息刊物、各类专刊不计分；各类信息中的简讯类信息不计分。</w:t>
      </w:r>
    </w:p>
    <w:p w14:paraId="2DA4FEC6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司法改革工作信息入选《人民法院司法改革案例选编》刊发的，每篇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80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分；被最高人民法院《司法改革动态》刊发的，每篇计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分。入选全省法院年度司法改革十大典型案例的，每个案例计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分。入选全市法院年度司法改革典型案例的，每个案例计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分，某类改革典型案例的计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</w:t>
      </w:r>
    </w:p>
    <w:p w14:paraId="2DCEAF86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被评为全国、全省、全市优秀信息的，每篇分别计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</w:t>
      </w:r>
    </w:p>
    <w:p w14:paraId="6D3066FE" w14:textId="77777777" w:rsidR="00884918" w:rsidRDefault="00B80FE5">
      <w:pPr>
        <w:spacing w:line="560" w:lineRule="exact"/>
        <w:ind w:firstLineChars="200" w:firstLine="640"/>
        <w:contextualSpacing/>
        <w:rPr>
          <w:rFonts w:ascii="Times New Roman" w:eastAsia="黑体" w:hAnsi="Times New Roman" w:cs="仿宋_GB2312"/>
          <w:kern w:val="0"/>
          <w:sz w:val="32"/>
          <w:szCs w:val="32"/>
        </w:rPr>
      </w:pPr>
      <w:r>
        <w:rPr>
          <w:rFonts w:ascii="Times New Roman" w:eastAsia="黑体" w:hAnsi="Times New Roman" w:cs="仿宋_GB2312" w:hint="eastAsia"/>
          <w:kern w:val="0"/>
          <w:sz w:val="32"/>
          <w:szCs w:val="32"/>
        </w:rPr>
        <w:t>二、计算方法</w:t>
      </w:r>
    </w:p>
    <w:p w14:paraId="74EC0AC4" w14:textId="77777777" w:rsidR="00884918" w:rsidRDefault="00B80FE5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工作宣传、案例文书、调查研究、经验简报四类分别计分，每一类按分数计算，前二名为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分，第三至八名分别按照各类别递减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分。合计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85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分以上为达标。</w:t>
      </w:r>
    </w:p>
    <w:p w14:paraId="1E660202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由中院研究室、宣传处、审管办负责组织审核，各基层法院申报后，由中院对各基层法院申报情况进行审核确认。工作宣传类由中院宣传处初核，案例由审管办、研究室初核，其他由研究室初核。仅可申报评估年度的审判调研成果，时间以获奖文件、获奖证书的落款时间、刊物的出版时间为准，确因客观原因未及时取得相应证明材料的，可以延后至下一年度，上一年度已经计算的不再重复计算。</w:t>
      </w:r>
    </w:p>
    <w:p w14:paraId="4A67C37E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</w:rPr>
        <w:t>转载的，同一序列的评选、采用，不重复计分；字数不足的不计分。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同一成果由多个作者或单位承担的，自行协商基础上中院确定计分。</w:t>
      </w:r>
    </w:p>
    <w:p w14:paraId="09C39E88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不同单位多人共同参与相关工作或参与经验材料撰写的，只计算第一作者或者主办单位；各类材料主要由基层法院撰写，以中院名义报送的，计入基层法院相应成果，仅提供素材或仅以成果中部分内容存在的不计分。</w:t>
      </w:r>
    </w:p>
    <w:p w14:paraId="30A56E25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FF"/>
          <w:kern w:val="0"/>
          <w:sz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各类审判调研成果受到党和国家领导人批示肯定的，每篇计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100-180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分；省委、省政府主要领导批示肯定的，每条计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70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分；最高人民法院其他院领导、其他省领导批示肯定的，每条计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分。被省法院其他院领导、市委主要领导批示肯定的，每篇计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分；被市委其他领导批示肯定的，每篇计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分。批示得分计入相应类别。</w:t>
      </w:r>
    </w:p>
    <w:p w14:paraId="557F57C2" w14:textId="77777777" w:rsidR="00884918" w:rsidRDefault="00B80FE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</w:rPr>
        <w:t>6.</w:t>
      </w:r>
      <w:r>
        <w:rPr>
          <w:rFonts w:ascii="Times New Roman" w:eastAsia="仿宋_GB2312" w:hAnsi="Times New Roman" w:cs="Times New Roman" w:hint="eastAsia"/>
          <w:kern w:val="0"/>
          <w:sz w:val="32"/>
        </w:rPr>
        <w:t>获得各类优秀组织奖的，参照一等奖计分。</w:t>
      </w:r>
    </w:p>
    <w:p w14:paraId="115690E9" w14:textId="77777777" w:rsidR="00884918" w:rsidRDefault="00884918">
      <w:p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884918">
      <w:footerReference w:type="default" r:id="rId9"/>
      <w:pgSz w:w="11906" w:h="16838"/>
      <w:pgMar w:top="1928" w:right="1531" w:bottom="1531" w:left="1531" w:header="851" w:footer="136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700DE" w14:textId="77777777" w:rsidR="00E74044" w:rsidRDefault="00E74044">
      <w:r>
        <w:separator/>
      </w:r>
    </w:p>
  </w:endnote>
  <w:endnote w:type="continuationSeparator" w:id="0">
    <w:p w14:paraId="04BB4FDA" w14:textId="77777777" w:rsidR="00E74044" w:rsidRDefault="00E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024908"/>
    </w:sdtPr>
    <w:sdtEndPr/>
    <w:sdtContent>
      <w:p w14:paraId="3CBA025C" w14:textId="77777777" w:rsidR="00884918" w:rsidRDefault="00B80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50B" w:rsidRPr="007C350B">
          <w:rPr>
            <w:noProof/>
            <w:lang w:val="zh-CN"/>
          </w:rPr>
          <w:t>1</w:t>
        </w:r>
        <w:r>
          <w:fldChar w:fldCharType="end"/>
        </w:r>
      </w:p>
    </w:sdtContent>
  </w:sdt>
  <w:p w14:paraId="46F96B1F" w14:textId="77777777" w:rsidR="00884918" w:rsidRDefault="008849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8C341" w14:textId="77777777" w:rsidR="00884918" w:rsidRDefault="00B80FE5">
    <w:pPr>
      <w:pStyle w:val="a4"/>
      <w:framePr w:wrap="auto" w:vAnchor="text" w:hAnchor="margin" w:xAlign="outside" w:y="1"/>
      <w:jc w:val="center"/>
      <w:rPr>
        <w:rStyle w:val="a6"/>
        <w:rFonts w:ascii="仿宋_GB2312" w:hAnsi="仿宋"/>
        <w:sz w:val="28"/>
        <w:szCs w:val="28"/>
      </w:rPr>
    </w:pPr>
    <w:r>
      <w:rPr>
        <w:rStyle w:val="a6"/>
        <w:rFonts w:ascii="仿宋_GB2312" w:hAnsi="仿宋" w:cs="仿宋_GB2312"/>
        <w:sz w:val="28"/>
        <w:szCs w:val="28"/>
      </w:rPr>
      <w:t>—</w:t>
    </w:r>
    <w:r>
      <w:rPr>
        <w:rStyle w:val="a6"/>
        <w:rFonts w:ascii="仿宋_GB2312" w:hAnsi="仿宋" w:cs="仿宋_GB2312"/>
        <w:sz w:val="28"/>
        <w:szCs w:val="28"/>
      </w:rPr>
      <w:fldChar w:fldCharType="begin"/>
    </w:r>
    <w:r>
      <w:rPr>
        <w:rStyle w:val="a6"/>
        <w:rFonts w:ascii="仿宋_GB2312" w:hAnsi="仿宋" w:cs="仿宋_GB2312"/>
        <w:sz w:val="28"/>
        <w:szCs w:val="28"/>
      </w:rPr>
      <w:instrText xml:space="preserve">PAGE  </w:instrText>
    </w:r>
    <w:r>
      <w:rPr>
        <w:rStyle w:val="a6"/>
        <w:rFonts w:ascii="仿宋_GB2312" w:hAnsi="仿宋" w:cs="仿宋_GB2312"/>
        <w:sz w:val="28"/>
        <w:szCs w:val="28"/>
      </w:rPr>
      <w:fldChar w:fldCharType="separate"/>
    </w:r>
    <w:r w:rsidR="007D6D2C">
      <w:rPr>
        <w:rStyle w:val="a6"/>
        <w:rFonts w:ascii="仿宋_GB2312" w:hAnsi="仿宋" w:cs="仿宋_GB2312"/>
        <w:noProof/>
        <w:sz w:val="28"/>
        <w:szCs w:val="28"/>
      </w:rPr>
      <w:t>17</w:t>
    </w:r>
    <w:r>
      <w:rPr>
        <w:rStyle w:val="a6"/>
        <w:rFonts w:ascii="仿宋_GB2312" w:hAnsi="仿宋" w:cs="仿宋_GB2312"/>
        <w:sz w:val="28"/>
        <w:szCs w:val="28"/>
      </w:rPr>
      <w:fldChar w:fldCharType="end"/>
    </w:r>
    <w:r>
      <w:rPr>
        <w:rStyle w:val="a6"/>
        <w:rFonts w:ascii="仿宋_GB2312" w:hAnsi="仿宋" w:cs="仿宋_GB2312"/>
        <w:sz w:val="28"/>
        <w:szCs w:val="28"/>
      </w:rPr>
      <w:t>—</w:t>
    </w:r>
  </w:p>
  <w:p w14:paraId="6E475B6B" w14:textId="77777777" w:rsidR="00884918" w:rsidRDefault="00884918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F1188" w14:textId="77777777" w:rsidR="00E74044" w:rsidRDefault="00E74044">
      <w:r>
        <w:separator/>
      </w:r>
    </w:p>
  </w:footnote>
  <w:footnote w:type="continuationSeparator" w:id="0">
    <w:p w14:paraId="13327231" w14:textId="77777777" w:rsidR="00E74044" w:rsidRDefault="00E7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DZkNzhkYmQ3NDY1NmUwYzk0ZWNjZWVkYjM1ZTcifQ=="/>
    <w:docVar w:name="KSO_WPS_MARK_KEY" w:val="6de1a79c-a4d0-4b75-855d-b0229f0f4489"/>
  </w:docVars>
  <w:rsids>
    <w:rsidRoot w:val="008C7B31"/>
    <w:rsid w:val="00020B2F"/>
    <w:rsid w:val="00023A1B"/>
    <w:rsid w:val="000664DA"/>
    <w:rsid w:val="00094A34"/>
    <w:rsid w:val="0009767C"/>
    <w:rsid w:val="000A0763"/>
    <w:rsid w:val="000C2617"/>
    <w:rsid w:val="000D4357"/>
    <w:rsid w:val="000E3DD5"/>
    <w:rsid w:val="001145D4"/>
    <w:rsid w:val="0011660C"/>
    <w:rsid w:val="00140442"/>
    <w:rsid w:val="00155351"/>
    <w:rsid w:val="00186634"/>
    <w:rsid w:val="001A149A"/>
    <w:rsid w:val="001B0035"/>
    <w:rsid w:val="001C0E60"/>
    <w:rsid w:val="001F6518"/>
    <w:rsid w:val="001F73F5"/>
    <w:rsid w:val="00210EED"/>
    <w:rsid w:val="00216700"/>
    <w:rsid w:val="00223535"/>
    <w:rsid w:val="0026204D"/>
    <w:rsid w:val="002A53FB"/>
    <w:rsid w:val="002D4345"/>
    <w:rsid w:val="00306C2B"/>
    <w:rsid w:val="00327A70"/>
    <w:rsid w:val="00334D88"/>
    <w:rsid w:val="00345C18"/>
    <w:rsid w:val="00360C29"/>
    <w:rsid w:val="00367D62"/>
    <w:rsid w:val="003817E4"/>
    <w:rsid w:val="00392F78"/>
    <w:rsid w:val="003A116F"/>
    <w:rsid w:val="003A3305"/>
    <w:rsid w:val="003A51DD"/>
    <w:rsid w:val="004205BC"/>
    <w:rsid w:val="00435EEB"/>
    <w:rsid w:val="00445974"/>
    <w:rsid w:val="00466D40"/>
    <w:rsid w:val="00472F59"/>
    <w:rsid w:val="00477A52"/>
    <w:rsid w:val="00496FDB"/>
    <w:rsid w:val="004E2544"/>
    <w:rsid w:val="005116F2"/>
    <w:rsid w:val="00515015"/>
    <w:rsid w:val="00517EE0"/>
    <w:rsid w:val="005238A9"/>
    <w:rsid w:val="00543EFE"/>
    <w:rsid w:val="00550386"/>
    <w:rsid w:val="00587571"/>
    <w:rsid w:val="005F3ABC"/>
    <w:rsid w:val="00607A9C"/>
    <w:rsid w:val="00625D79"/>
    <w:rsid w:val="00683EEE"/>
    <w:rsid w:val="006C6C4A"/>
    <w:rsid w:val="006F682A"/>
    <w:rsid w:val="00706001"/>
    <w:rsid w:val="00721451"/>
    <w:rsid w:val="00721DD4"/>
    <w:rsid w:val="00731850"/>
    <w:rsid w:val="007C350B"/>
    <w:rsid w:val="007D6D2C"/>
    <w:rsid w:val="007E68AE"/>
    <w:rsid w:val="00816A9D"/>
    <w:rsid w:val="00816FF3"/>
    <w:rsid w:val="00857D15"/>
    <w:rsid w:val="00865300"/>
    <w:rsid w:val="0086583A"/>
    <w:rsid w:val="00881C30"/>
    <w:rsid w:val="0088458A"/>
    <w:rsid w:val="00884918"/>
    <w:rsid w:val="00894303"/>
    <w:rsid w:val="008976B0"/>
    <w:rsid w:val="008C7B31"/>
    <w:rsid w:val="008D02C8"/>
    <w:rsid w:val="008D293E"/>
    <w:rsid w:val="008D2C36"/>
    <w:rsid w:val="008E07DE"/>
    <w:rsid w:val="008E570E"/>
    <w:rsid w:val="00926BA3"/>
    <w:rsid w:val="009446D4"/>
    <w:rsid w:val="0095292B"/>
    <w:rsid w:val="00954081"/>
    <w:rsid w:val="009969A4"/>
    <w:rsid w:val="009A7F1F"/>
    <w:rsid w:val="009C6720"/>
    <w:rsid w:val="009C7185"/>
    <w:rsid w:val="009D6CC9"/>
    <w:rsid w:val="009E772C"/>
    <w:rsid w:val="009F7378"/>
    <w:rsid w:val="00A653A7"/>
    <w:rsid w:val="00A90A4E"/>
    <w:rsid w:val="00AA3D33"/>
    <w:rsid w:val="00AA3F0F"/>
    <w:rsid w:val="00AB42B9"/>
    <w:rsid w:val="00AC17D2"/>
    <w:rsid w:val="00AC7276"/>
    <w:rsid w:val="00AD5176"/>
    <w:rsid w:val="00AF2907"/>
    <w:rsid w:val="00B134A0"/>
    <w:rsid w:val="00B21858"/>
    <w:rsid w:val="00B25B9E"/>
    <w:rsid w:val="00B35FA2"/>
    <w:rsid w:val="00B47026"/>
    <w:rsid w:val="00B57C40"/>
    <w:rsid w:val="00B637BE"/>
    <w:rsid w:val="00B71335"/>
    <w:rsid w:val="00B731CD"/>
    <w:rsid w:val="00B741C1"/>
    <w:rsid w:val="00B80FE5"/>
    <w:rsid w:val="00BA26BF"/>
    <w:rsid w:val="00BB1050"/>
    <w:rsid w:val="00BB2628"/>
    <w:rsid w:val="00BD7043"/>
    <w:rsid w:val="00C17CC9"/>
    <w:rsid w:val="00C36B5C"/>
    <w:rsid w:val="00C43FD4"/>
    <w:rsid w:val="00C456D8"/>
    <w:rsid w:val="00C54D4C"/>
    <w:rsid w:val="00C64987"/>
    <w:rsid w:val="00C7664B"/>
    <w:rsid w:val="00C7711A"/>
    <w:rsid w:val="00CA4ECD"/>
    <w:rsid w:val="00CD5A1B"/>
    <w:rsid w:val="00CE365A"/>
    <w:rsid w:val="00CE455D"/>
    <w:rsid w:val="00CF1F4A"/>
    <w:rsid w:val="00D06D73"/>
    <w:rsid w:val="00D50ECA"/>
    <w:rsid w:val="00D90DAE"/>
    <w:rsid w:val="00DA5D59"/>
    <w:rsid w:val="00E14880"/>
    <w:rsid w:val="00E3066C"/>
    <w:rsid w:val="00E40BF6"/>
    <w:rsid w:val="00E46B4B"/>
    <w:rsid w:val="00E525E6"/>
    <w:rsid w:val="00E542E5"/>
    <w:rsid w:val="00E602A1"/>
    <w:rsid w:val="00E6305E"/>
    <w:rsid w:val="00E64E1E"/>
    <w:rsid w:val="00E74044"/>
    <w:rsid w:val="00EA18B9"/>
    <w:rsid w:val="00EA660D"/>
    <w:rsid w:val="00EB0674"/>
    <w:rsid w:val="00EE2790"/>
    <w:rsid w:val="00F02957"/>
    <w:rsid w:val="00F15161"/>
    <w:rsid w:val="00F221EA"/>
    <w:rsid w:val="00F64374"/>
    <w:rsid w:val="00F759FB"/>
    <w:rsid w:val="00F97EB6"/>
    <w:rsid w:val="00FA3DA5"/>
    <w:rsid w:val="00FE2C52"/>
    <w:rsid w:val="00FE5215"/>
    <w:rsid w:val="0B025389"/>
    <w:rsid w:val="0CED0882"/>
    <w:rsid w:val="18A44C32"/>
    <w:rsid w:val="20016E3A"/>
    <w:rsid w:val="25217173"/>
    <w:rsid w:val="36E7289C"/>
    <w:rsid w:val="45F41D90"/>
    <w:rsid w:val="4CCC362D"/>
    <w:rsid w:val="4D217B0E"/>
    <w:rsid w:val="50617A5E"/>
    <w:rsid w:val="53D709C6"/>
    <w:rsid w:val="57637783"/>
    <w:rsid w:val="5802631C"/>
    <w:rsid w:val="62A50E50"/>
    <w:rsid w:val="632C0D07"/>
    <w:rsid w:val="64FB0F8C"/>
    <w:rsid w:val="667B40DD"/>
    <w:rsid w:val="73315AF5"/>
    <w:rsid w:val="7C9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07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51EA-4B3E-4E14-9651-E679F9A5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6962</Characters>
  <Application>Microsoft Office Word</Application>
  <DocSecurity>0</DocSecurity>
  <Lines>58</Lines>
  <Paragraphs>16</Paragraphs>
  <ScaleCrop>false</ScaleCrop>
  <Company>eastsoft.cn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盖瑞</cp:lastModifiedBy>
  <cp:revision>2</cp:revision>
  <cp:lastPrinted>2023-12-05T02:30:00Z</cp:lastPrinted>
  <dcterms:created xsi:type="dcterms:W3CDTF">2024-07-03T06:17:00Z</dcterms:created>
  <dcterms:modified xsi:type="dcterms:W3CDTF">2024-07-03T06:17:00Z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68C4A815945149E69F940F49FC44293D_12</vt:lpwstr>
  </property>
</Properties>
</file>